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line="280" w:lineRule="atLeast"/>
        <w:ind w:left="0" w:right="0" w:firstLine="0"/>
        <w:jc w:val="left"/>
        <w:rPr>
          <w:rFonts w:ascii="Trebuchet MS" w:hAnsi="Trebuchet MS"/>
          <w:sz w:val="24"/>
          <w:szCs w:val="24"/>
          <w:rtl w:val="0"/>
        </w:rPr>
      </w:pPr>
    </w:p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600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f2600"/>
          <w:sz w:val="42"/>
          <w:szCs w:val="42"/>
          <w:rtl w:val="0"/>
          <w:lang w:val="de-DE"/>
        </w:rPr>
        <w:t xml:space="preserve">TEATRO IN FRANCESE </w:t>
      </w:r>
    </w:p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color w:val="000000"/>
          <w:sz w:val="24"/>
          <w:szCs w:val="24"/>
          <w:rtl w:val="0"/>
        </w:rPr>
      </w:pPr>
    </w:p>
    <w:p>
      <w:pPr>
        <w:pStyle w:val="Di default"/>
        <w:bidi w:val="0"/>
        <w:spacing w:after="240" w:line="44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 xml:space="preserve">Attraverso il coinvolgimento in orario scolastico delle classi terze della scuola secondaria si integra e si completa lo studio della lingua francese per portare i ragazzi, il </w:t>
      </w:r>
      <w:r>
        <w:rPr>
          <w:rFonts w:ascii="Trebuchet MS" w:hAnsi="Trebuchet MS"/>
          <w:sz w:val="30"/>
          <w:szCs w:val="30"/>
          <w:rtl w:val="0"/>
          <w:lang w:val="it-IT"/>
        </w:rPr>
        <w:t>14 dicembre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, ad assistere ad uno spettacolo presso il teatro di Tivoli in cui 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è 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prevista anche una loro eventuale partecipazione. </w:t>
      </w:r>
    </w:p>
    <w:p>
      <w:pPr>
        <w:pStyle w:val="Di default"/>
        <w:bidi w:val="0"/>
        <w:spacing w:after="240" w:line="44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 xml:space="preserve">Gli obiettivi che si prefigge il progetto sono di potenziare le competenze linguistiche, di avvicinare i ragazzi alla cultura straniera immergendoli in contesti a loro familiari e di accompagnare la didattica tradizionale con un elemento ludico ed emozionale. </w:t>
      </w:r>
    </w:p>
    <w:p>
      <w:pPr>
        <w:pStyle w:val="Di default"/>
        <w:bidi w:val="0"/>
        <w:spacing w:after="240" w:line="44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>I ragazzi utilizzeranno il linguaggio musicale, come mezzo ulteriore per 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apprendimento linguistico, per rivedere racconti di ieri e di oggi, storie individuali e collettive per divenire cittadini attivi dell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Europa di domani. </w:t>
      </w:r>
      <w:r>
        <w:rPr>
          <w:rFonts w:ascii="Trebuchet MS" w:cs="Trebuchet MS" w:hAnsi="Trebuchet MS" w:eastAsia="Trebuchet M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